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C3" w:rsidRPr="00580ED7" w:rsidRDefault="00580ED7" w:rsidP="00BF13C3">
      <w:pPr>
        <w:spacing w:before="120" w:after="120" w:line="360" w:lineRule="auto"/>
        <w:ind w:right="43"/>
        <w:jc w:val="center"/>
        <w:rPr>
          <w:rFonts w:ascii="GHEA Grapalat" w:hAnsi="GHEA Grapalat"/>
          <w:b/>
          <w:bCs/>
          <w:sz w:val="24"/>
          <w:szCs w:val="24"/>
        </w:rPr>
      </w:pPr>
      <w:r w:rsidRPr="00580ED7">
        <w:rPr>
          <w:rFonts w:ascii="GHEA Grapalat" w:hAnsi="GHEA Grapalat"/>
          <w:b/>
          <w:sz w:val="28"/>
          <w:szCs w:val="28"/>
        </w:rPr>
        <w:t>Main principles of issua</w:t>
      </w:r>
      <w:r w:rsidR="00B2365A">
        <w:rPr>
          <w:rFonts w:ascii="GHEA Grapalat" w:hAnsi="GHEA Grapalat"/>
          <w:b/>
          <w:sz w:val="28"/>
          <w:szCs w:val="28"/>
        </w:rPr>
        <w:t>nce, placement, buyback and 202</w:t>
      </w:r>
      <w:r w:rsidR="002F74E1">
        <w:rPr>
          <w:rFonts w:ascii="GHEA Grapalat" w:hAnsi="GHEA Grapalat"/>
          <w:b/>
          <w:sz w:val="28"/>
          <w:szCs w:val="28"/>
          <w:lang w:val="hy-AM"/>
        </w:rPr>
        <w:t>5</w:t>
      </w:r>
      <w:r w:rsidRPr="00580ED7">
        <w:rPr>
          <w:rFonts w:ascii="GHEA Grapalat" w:hAnsi="GHEA Grapalat"/>
          <w:b/>
          <w:sz w:val="28"/>
          <w:szCs w:val="28"/>
        </w:rPr>
        <w:t xml:space="preserve"> auctions calendar</w:t>
      </w:r>
      <w:r w:rsidRPr="00580ED7">
        <w:rPr>
          <w:rFonts w:ascii="GHEA Grapalat" w:hAnsi="GHEA Grapalat"/>
          <w:b/>
          <w:bCs/>
          <w:sz w:val="24"/>
          <w:szCs w:val="24"/>
        </w:rPr>
        <w:t xml:space="preserve"> </w:t>
      </w:r>
    </w:p>
    <w:p w:rsidR="00580ED7" w:rsidRPr="002F74E1" w:rsidRDefault="00580ED7" w:rsidP="00FF1CDA">
      <w:pPr>
        <w:spacing w:after="0" w:line="360" w:lineRule="auto"/>
        <w:ind w:firstLine="360"/>
        <w:jc w:val="both"/>
        <w:rPr>
          <w:rFonts w:ascii="GHEA Grapalat" w:hAnsi="GHEA Grapalat"/>
          <w:bCs/>
          <w:sz w:val="24"/>
          <w:szCs w:val="24"/>
        </w:rPr>
      </w:pPr>
    </w:p>
    <w:p w:rsidR="003F3207" w:rsidRPr="003F3207" w:rsidRDefault="003F3207" w:rsidP="003F3207">
      <w:pPr>
        <w:spacing w:after="0" w:line="360" w:lineRule="auto"/>
        <w:ind w:firstLine="450"/>
        <w:jc w:val="both"/>
        <w:rPr>
          <w:rFonts w:ascii="GHEA Grapalat" w:hAnsi="GHEA Grapalat"/>
          <w:bCs/>
          <w:sz w:val="24"/>
          <w:szCs w:val="24"/>
          <w:lang w:val="en-GB"/>
        </w:rPr>
      </w:pPr>
      <w:r w:rsidRPr="003F3207">
        <w:rPr>
          <w:rFonts w:ascii="GHEA Grapalat" w:hAnsi="GHEA Grapalat"/>
          <w:bCs/>
          <w:sz w:val="24"/>
          <w:szCs w:val="24"/>
          <w:lang w:val="en-GB"/>
        </w:rPr>
        <w:t>The budget deficit financing by Treasury bonds will be done through the reopening of short-term (1 year), medium-term (3 and 5 years), long-term (10 and 30 years) bonds and saving bonds (6 months, 1, 2 and 3 years).</w:t>
      </w:r>
    </w:p>
    <w:p w:rsidR="003F3207" w:rsidRPr="003F3207" w:rsidRDefault="003F3207" w:rsidP="003F3207">
      <w:pPr>
        <w:spacing w:after="0" w:line="360" w:lineRule="auto"/>
        <w:ind w:firstLine="360"/>
        <w:jc w:val="both"/>
        <w:rPr>
          <w:rFonts w:ascii="GHEA Grapalat" w:hAnsi="GHEA Grapalat"/>
          <w:bCs/>
          <w:sz w:val="24"/>
          <w:szCs w:val="24"/>
          <w:lang w:val="en-GB"/>
        </w:rPr>
      </w:pPr>
      <w:r w:rsidRPr="003F3207">
        <w:rPr>
          <w:rFonts w:ascii="GHEA Grapalat" w:hAnsi="GHEA Grapalat"/>
          <w:bCs/>
          <w:sz w:val="24"/>
          <w:szCs w:val="24"/>
          <w:lang w:val="en-GB"/>
        </w:rPr>
        <w:t xml:space="preserve">Auctions of T-Bills with tenor of 52, 39, 26 and 13 weeks </w:t>
      </w:r>
      <w:proofErr w:type="gramStart"/>
      <w:r w:rsidRPr="003F3207">
        <w:rPr>
          <w:rFonts w:ascii="GHEA Grapalat" w:hAnsi="GHEA Grapalat"/>
          <w:bCs/>
          <w:sz w:val="24"/>
          <w:szCs w:val="24"/>
          <w:lang w:val="en-GB"/>
        </w:rPr>
        <w:t>will be organized</w:t>
      </w:r>
      <w:proofErr w:type="gramEnd"/>
      <w:r w:rsidRPr="003F3207">
        <w:rPr>
          <w:rFonts w:ascii="GHEA Grapalat" w:hAnsi="GHEA Grapalat"/>
          <w:bCs/>
          <w:sz w:val="24"/>
          <w:szCs w:val="24"/>
          <w:lang w:val="en-GB"/>
        </w:rPr>
        <w:t xml:space="preserve"> at least once in every two months. </w:t>
      </w:r>
    </w:p>
    <w:p w:rsidR="003F3207" w:rsidRPr="003F3207" w:rsidRDefault="003F3207" w:rsidP="003F3207">
      <w:pPr>
        <w:spacing w:after="0" w:line="360" w:lineRule="auto"/>
        <w:ind w:firstLine="360"/>
        <w:jc w:val="both"/>
        <w:rPr>
          <w:rFonts w:ascii="GHEA Grapalat" w:hAnsi="GHEA Grapalat"/>
          <w:bCs/>
          <w:sz w:val="24"/>
          <w:szCs w:val="24"/>
          <w:lang w:val="en-GB"/>
        </w:rPr>
      </w:pPr>
      <w:r w:rsidRPr="003F3207">
        <w:rPr>
          <w:rFonts w:ascii="GHEA Grapalat" w:hAnsi="GHEA Grapalat"/>
          <w:bCs/>
          <w:sz w:val="24"/>
          <w:szCs w:val="24"/>
          <w:lang w:val="en-GB"/>
        </w:rPr>
        <w:t xml:space="preserve">New Treasury Notes with the maturity of 3 and 5 years </w:t>
      </w:r>
      <w:proofErr w:type="gramStart"/>
      <w:r w:rsidRPr="003F3207">
        <w:rPr>
          <w:rFonts w:ascii="GHEA Grapalat" w:hAnsi="GHEA Grapalat"/>
          <w:bCs/>
          <w:sz w:val="24"/>
          <w:szCs w:val="24"/>
          <w:lang w:val="en-GB"/>
        </w:rPr>
        <w:t>will be issued</w:t>
      </w:r>
      <w:proofErr w:type="gramEnd"/>
      <w:r w:rsidRPr="003F3207">
        <w:rPr>
          <w:rFonts w:ascii="GHEA Grapalat" w:hAnsi="GHEA Grapalat"/>
          <w:bCs/>
          <w:sz w:val="24"/>
          <w:szCs w:val="24"/>
          <w:lang w:val="en-GB"/>
        </w:rPr>
        <w:t xml:space="preserve"> on 29 April 202</w:t>
      </w:r>
      <w:r w:rsidR="002F74E1">
        <w:rPr>
          <w:rFonts w:ascii="GHEA Grapalat" w:hAnsi="GHEA Grapalat"/>
          <w:bCs/>
          <w:sz w:val="24"/>
          <w:szCs w:val="24"/>
          <w:lang w:val="hy-AM"/>
        </w:rPr>
        <w:t>5</w:t>
      </w:r>
      <w:r w:rsidRPr="003F3207">
        <w:rPr>
          <w:rFonts w:ascii="GHEA Grapalat" w:hAnsi="GHEA Grapalat"/>
          <w:bCs/>
          <w:sz w:val="24"/>
          <w:szCs w:val="24"/>
          <w:lang w:val="en-GB"/>
        </w:rPr>
        <w:t xml:space="preserve">. </w:t>
      </w:r>
    </w:p>
    <w:p w:rsidR="003F3207" w:rsidRPr="003F3207" w:rsidRDefault="003F3207" w:rsidP="003F3207">
      <w:pPr>
        <w:spacing w:after="0" w:line="360" w:lineRule="auto"/>
        <w:ind w:firstLine="360"/>
        <w:jc w:val="both"/>
        <w:rPr>
          <w:rFonts w:ascii="GHEA Grapalat" w:hAnsi="GHEA Grapalat"/>
          <w:bCs/>
          <w:sz w:val="24"/>
          <w:szCs w:val="24"/>
          <w:lang w:val="en-GB"/>
        </w:rPr>
      </w:pPr>
      <w:r w:rsidRPr="003F3207">
        <w:rPr>
          <w:rFonts w:ascii="GHEA Grapalat" w:hAnsi="GHEA Grapalat"/>
          <w:bCs/>
          <w:sz w:val="24"/>
          <w:szCs w:val="24"/>
          <w:lang w:val="en-GB"/>
        </w:rPr>
        <w:t>10y T-Bonds due to 29 October 203</w:t>
      </w:r>
      <w:r w:rsidR="002F74E1">
        <w:rPr>
          <w:rFonts w:ascii="GHEA Grapalat" w:hAnsi="GHEA Grapalat"/>
          <w:bCs/>
          <w:sz w:val="24"/>
          <w:szCs w:val="24"/>
          <w:lang w:val="hy-AM"/>
        </w:rPr>
        <w:t>5</w:t>
      </w:r>
      <w:r w:rsidRPr="003F3207">
        <w:rPr>
          <w:rFonts w:ascii="GHEA Grapalat" w:hAnsi="GHEA Grapalat"/>
          <w:bCs/>
          <w:sz w:val="24"/>
          <w:szCs w:val="24"/>
          <w:lang w:val="en-GB"/>
        </w:rPr>
        <w:t xml:space="preserve"> and 30y T-Bonds due to 29 October 205</w:t>
      </w:r>
      <w:r w:rsidR="002F74E1">
        <w:rPr>
          <w:rFonts w:ascii="GHEA Grapalat" w:hAnsi="GHEA Grapalat"/>
          <w:bCs/>
          <w:sz w:val="24"/>
          <w:szCs w:val="24"/>
          <w:lang w:val="hy-AM"/>
        </w:rPr>
        <w:t>4</w:t>
      </w:r>
      <w:r w:rsidRPr="003F3207">
        <w:rPr>
          <w:rFonts w:ascii="GHEA Grapalat" w:hAnsi="GHEA Grapalat"/>
          <w:bCs/>
          <w:sz w:val="24"/>
          <w:szCs w:val="24"/>
          <w:lang w:val="en-GB"/>
        </w:rPr>
        <w:t xml:space="preserve"> will be allocated during 202</w:t>
      </w:r>
      <w:r w:rsidR="002F74E1">
        <w:rPr>
          <w:rFonts w:ascii="GHEA Grapalat" w:hAnsi="GHEA Grapalat"/>
          <w:bCs/>
          <w:sz w:val="24"/>
          <w:szCs w:val="24"/>
          <w:lang w:val="hy-AM"/>
        </w:rPr>
        <w:t>5</w:t>
      </w:r>
      <w:r w:rsidRPr="003F3207">
        <w:rPr>
          <w:rFonts w:ascii="GHEA Grapalat" w:hAnsi="GHEA Grapalat"/>
          <w:bCs/>
          <w:sz w:val="24"/>
          <w:szCs w:val="24"/>
          <w:lang w:val="en-GB"/>
        </w:rPr>
        <w:t xml:space="preserve"> (issuance </w:t>
      </w:r>
      <w:r w:rsidRPr="00944112">
        <w:rPr>
          <w:rFonts w:ascii="GHEA Grapalat" w:hAnsi="GHEA Grapalat"/>
          <w:bCs/>
          <w:sz w:val="24"/>
          <w:szCs w:val="24"/>
          <w:lang w:val="en-GB"/>
        </w:rPr>
        <w:t>dates are 29</w:t>
      </w:r>
      <w:r w:rsidRPr="00944112">
        <w:rPr>
          <w:rFonts w:ascii="GHEA Grapalat" w:hAnsi="GHEA Grapalat"/>
          <w:bCs/>
          <w:sz w:val="24"/>
          <w:szCs w:val="24"/>
          <w:vertAlign w:val="superscript"/>
          <w:lang w:val="en-GB"/>
        </w:rPr>
        <w:t>th</w:t>
      </w:r>
      <w:r w:rsidRPr="00944112">
        <w:rPr>
          <w:rFonts w:ascii="GHEA Grapalat" w:hAnsi="GHEA Grapalat"/>
          <w:bCs/>
          <w:sz w:val="24"/>
          <w:szCs w:val="24"/>
          <w:lang w:val="en-GB"/>
        </w:rPr>
        <w:t xml:space="preserve"> of </w:t>
      </w:r>
      <w:r w:rsidR="002F74E1" w:rsidRPr="00944112">
        <w:rPr>
          <w:rFonts w:ascii="GHEA Grapalat" w:hAnsi="GHEA Grapalat"/>
          <w:bCs/>
          <w:sz w:val="24"/>
          <w:szCs w:val="24"/>
        </w:rPr>
        <w:t>October</w:t>
      </w:r>
      <w:r w:rsidRPr="00944112">
        <w:rPr>
          <w:rFonts w:ascii="GHEA Grapalat" w:hAnsi="GHEA Grapalat"/>
          <w:bCs/>
          <w:sz w:val="24"/>
          <w:szCs w:val="24"/>
          <w:lang w:val="en-GB"/>
        </w:rPr>
        <w:t xml:space="preserve"> 202</w:t>
      </w:r>
      <w:r w:rsidR="002F74E1" w:rsidRPr="00944112">
        <w:rPr>
          <w:rFonts w:ascii="GHEA Grapalat" w:hAnsi="GHEA Grapalat"/>
          <w:bCs/>
          <w:sz w:val="24"/>
          <w:szCs w:val="24"/>
          <w:lang w:val="en-GB"/>
        </w:rPr>
        <w:t>4</w:t>
      </w:r>
      <w:r w:rsidRPr="00944112">
        <w:rPr>
          <w:rFonts w:ascii="GHEA Grapalat" w:hAnsi="GHEA Grapalat"/>
          <w:bCs/>
          <w:sz w:val="24"/>
          <w:szCs w:val="24"/>
          <w:lang w:val="en-GB"/>
        </w:rPr>
        <w:t>)</w:t>
      </w:r>
      <w:r w:rsidRPr="003F3207">
        <w:rPr>
          <w:rFonts w:ascii="GHEA Grapalat" w:hAnsi="GHEA Grapalat"/>
          <w:bCs/>
          <w:sz w:val="24"/>
          <w:szCs w:val="24"/>
          <w:lang w:val="en-GB"/>
        </w:rPr>
        <w:t>.</w:t>
      </w:r>
    </w:p>
    <w:p w:rsidR="003F3207" w:rsidRPr="003F3207" w:rsidRDefault="003F3207" w:rsidP="003F3207">
      <w:pPr>
        <w:spacing w:after="0" w:line="360" w:lineRule="auto"/>
        <w:ind w:firstLine="360"/>
        <w:jc w:val="both"/>
        <w:rPr>
          <w:rFonts w:ascii="GHEA Grapalat" w:hAnsi="GHEA Grapalat"/>
          <w:bCs/>
          <w:sz w:val="24"/>
          <w:szCs w:val="24"/>
          <w:lang w:val="en-GB"/>
        </w:rPr>
      </w:pPr>
      <w:r w:rsidRPr="003F3207">
        <w:rPr>
          <w:rFonts w:ascii="GHEA Grapalat" w:hAnsi="GHEA Grapalat"/>
          <w:bCs/>
          <w:sz w:val="24"/>
          <w:szCs w:val="24"/>
          <w:lang w:val="en-GB"/>
        </w:rPr>
        <w:t xml:space="preserve">As a rule, the minimum auction size of 3y and 5y T-notes is AMD 25 </w:t>
      </w:r>
      <w:proofErr w:type="gramStart"/>
      <w:r w:rsidRPr="003F3207">
        <w:rPr>
          <w:rFonts w:ascii="GHEA Grapalat" w:hAnsi="GHEA Grapalat"/>
          <w:bCs/>
          <w:sz w:val="24"/>
          <w:szCs w:val="24"/>
          <w:lang w:val="en-GB"/>
        </w:rPr>
        <w:t>billion</w:t>
      </w:r>
      <w:proofErr w:type="gramEnd"/>
      <w:r w:rsidRPr="003F3207">
        <w:rPr>
          <w:rFonts w:ascii="GHEA Grapalat" w:hAnsi="GHEA Grapalat"/>
          <w:bCs/>
          <w:sz w:val="24"/>
          <w:szCs w:val="24"/>
          <w:lang w:val="en-GB"/>
        </w:rPr>
        <w:t xml:space="preserve">, the minimum auction size of 10y T-Bonds is AMD </w:t>
      </w:r>
      <w:r w:rsidR="00120727">
        <w:rPr>
          <w:rFonts w:ascii="GHEA Grapalat" w:hAnsi="GHEA Grapalat"/>
          <w:bCs/>
          <w:sz w:val="24"/>
          <w:szCs w:val="24"/>
          <w:lang w:val="en-GB"/>
        </w:rPr>
        <w:t>50</w:t>
      </w:r>
      <w:r w:rsidRPr="003F3207">
        <w:rPr>
          <w:rFonts w:ascii="GHEA Grapalat" w:hAnsi="GHEA Grapalat"/>
          <w:bCs/>
          <w:sz w:val="24"/>
          <w:szCs w:val="24"/>
          <w:lang w:val="en-GB"/>
        </w:rPr>
        <w:t xml:space="preserve"> billion, and the </w:t>
      </w:r>
      <w:r w:rsidR="00120727" w:rsidRPr="003F3207">
        <w:rPr>
          <w:rFonts w:ascii="GHEA Grapalat" w:hAnsi="GHEA Grapalat"/>
          <w:bCs/>
          <w:sz w:val="24"/>
          <w:szCs w:val="24"/>
          <w:lang w:val="en-GB"/>
        </w:rPr>
        <w:t>minimum</w:t>
      </w:r>
      <w:r w:rsidRPr="003F3207">
        <w:rPr>
          <w:rFonts w:ascii="GHEA Grapalat" w:hAnsi="GHEA Grapalat"/>
          <w:bCs/>
          <w:sz w:val="24"/>
          <w:szCs w:val="24"/>
          <w:lang w:val="en-GB"/>
        </w:rPr>
        <w:t xml:space="preserve"> auction size of 30y T-Bonds is AMD 20 billion.</w:t>
      </w:r>
    </w:p>
    <w:p w:rsidR="003F3207" w:rsidRPr="003F3207" w:rsidRDefault="003F3207" w:rsidP="003F3207">
      <w:pPr>
        <w:rPr>
          <w:rFonts w:ascii="GHEA Grapalat" w:hAnsi="GHEA Grapalat"/>
          <w:bCs/>
          <w:sz w:val="24"/>
          <w:szCs w:val="24"/>
          <w:lang w:val="en-GB"/>
        </w:rPr>
      </w:pPr>
      <w:r w:rsidRPr="003F3207">
        <w:rPr>
          <w:rFonts w:ascii="GHEA Grapalat" w:hAnsi="GHEA Grapalat"/>
          <w:bCs/>
          <w:sz w:val="24"/>
          <w:szCs w:val="24"/>
          <w:lang w:val="en-GB"/>
        </w:rPr>
        <w:br w:type="page"/>
      </w:r>
    </w:p>
    <w:p w:rsidR="003F3207" w:rsidRPr="00F47784" w:rsidRDefault="00235762" w:rsidP="003F3207">
      <w:pPr>
        <w:spacing w:after="0" w:line="360" w:lineRule="auto"/>
        <w:ind w:firstLine="360"/>
        <w:jc w:val="both"/>
        <w:rPr>
          <w:rFonts w:asciiTheme="majorHAnsi" w:hAnsiTheme="majorHAnsi"/>
          <w:bCs/>
          <w:sz w:val="24"/>
          <w:szCs w:val="24"/>
          <w:lang w:val="en-GB"/>
        </w:rPr>
      </w:pPr>
      <w:bookmarkStart w:id="0" w:name="_GoBack"/>
      <w:r w:rsidRPr="00235762">
        <w:rPr>
          <w:noProof/>
        </w:rPr>
        <w:lastRenderedPageBreak/>
        <w:drawing>
          <wp:inline distT="0" distB="0" distL="0" distR="0">
            <wp:extent cx="6429375" cy="8486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5344" cy="8494298"/>
                    </a:xfrm>
                    <a:prstGeom prst="rect">
                      <a:avLst/>
                    </a:prstGeom>
                    <a:noFill/>
                    <a:ln>
                      <a:noFill/>
                    </a:ln>
                  </pic:spPr>
                </pic:pic>
              </a:graphicData>
            </a:graphic>
          </wp:inline>
        </w:drawing>
      </w:r>
      <w:bookmarkEnd w:id="0"/>
    </w:p>
    <w:p w:rsidR="003F3207" w:rsidRDefault="003F3207" w:rsidP="003F3207">
      <w:pPr>
        <w:spacing w:before="120" w:after="120" w:line="360" w:lineRule="auto"/>
        <w:ind w:firstLine="562"/>
        <w:jc w:val="both"/>
        <w:rPr>
          <w:rFonts w:asciiTheme="majorHAnsi" w:eastAsia="Times New Roman" w:hAnsiTheme="majorHAnsi" w:cs="Times New Roman"/>
          <w:sz w:val="24"/>
          <w:szCs w:val="24"/>
          <w:lang w:val="hy-AM"/>
        </w:rPr>
      </w:pPr>
    </w:p>
    <w:p w:rsidR="003F3207" w:rsidRDefault="003F3207" w:rsidP="003F3207">
      <w:pPr>
        <w:spacing w:before="120" w:after="120" w:line="360" w:lineRule="auto"/>
        <w:ind w:firstLine="562"/>
        <w:jc w:val="both"/>
        <w:rPr>
          <w:rFonts w:asciiTheme="majorHAnsi" w:eastAsia="Times New Roman" w:hAnsiTheme="majorHAnsi" w:cs="Times New Roman"/>
          <w:sz w:val="24"/>
          <w:szCs w:val="24"/>
          <w:lang w:val="hy-AM"/>
        </w:rPr>
      </w:pPr>
    </w:p>
    <w:p w:rsidR="00D344E3" w:rsidRDefault="00944112" w:rsidP="00D344E3">
      <w:pPr>
        <w:tabs>
          <w:tab w:val="left" w:pos="142"/>
        </w:tabs>
        <w:spacing w:before="120" w:after="120" w:line="360" w:lineRule="auto"/>
        <w:ind w:right="43" w:firstLine="630"/>
        <w:jc w:val="both"/>
        <w:rPr>
          <w:rFonts w:ascii="GHEA Grapalat" w:hAnsi="GHEA Grapalat"/>
          <w:sz w:val="24"/>
          <w:szCs w:val="24"/>
          <w:lang w:val="hy-AM"/>
        </w:rPr>
      </w:pPr>
      <w:r w:rsidRPr="00944112">
        <w:rPr>
          <w:rFonts w:ascii="GHEA Grapalat" w:hAnsi="GHEA Grapalat"/>
          <w:bCs/>
          <w:sz w:val="24"/>
          <w:szCs w:val="24"/>
          <w:lang w:val="hy-AM"/>
        </w:rPr>
        <w:lastRenderedPageBreak/>
        <w:t>As a rule</w:t>
      </w:r>
      <w:r>
        <w:rPr>
          <w:rFonts w:ascii="GHEA Grapalat" w:hAnsi="GHEA Grapalat"/>
          <w:sz w:val="24"/>
          <w:szCs w:val="24"/>
          <w:lang w:val="hy-AM"/>
        </w:rPr>
        <w:t>,</w:t>
      </w:r>
      <w:r>
        <w:rPr>
          <w:rFonts w:ascii="GHEA Grapalat" w:hAnsi="GHEA Grapalat"/>
          <w:sz w:val="24"/>
          <w:szCs w:val="24"/>
        </w:rPr>
        <w:t xml:space="preserve"> </w:t>
      </w:r>
      <w:r w:rsidRPr="00944112">
        <w:rPr>
          <w:rFonts w:ascii="GHEA Grapalat" w:hAnsi="GHEA Grapalat"/>
          <w:bCs/>
          <w:sz w:val="24"/>
          <w:szCs w:val="24"/>
          <w:lang w:val="hy-AM"/>
        </w:rPr>
        <w:t>T</w:t>
      </w:r>
      <w:r>
        <w:rPr>
          <w:rFonts w:ascii="GHEA Grapalat" w:hAnsi="GHEA Grapalat"/>
          <w:bCs/>
          <w:sz w:val="24"/>
          <w:szCs w:val="24"/>
        </w:rPr>
        <w:t>-</w:t>
      </w:r>
      <w:r w:rsidRPr="00944112">
        <w:rPr>
          <w:rFonts w:ascii="GHEA Grapalat" w:hAnsi="GHEA Grapalat"/>
          <w:bCs/>
          <w:sz w:val="24"/>
          <w:szCs w:val="24"/>
          <w:lang w:val="hy-AM"/>
        </w:rPr>
        <w:t xml:space="preserve">Notes with the maturity of 3  year will be </w:t>
      </w:r>
      <w:r w:rsidR="00FB5160">
        <w:rPr>
          <w:rFonts w:ascii="GHEA Grapalat" w:hAnsi="GHEA Grapalat"/>
          <w:bCs/>
          <w:sz w:val="24"/>
          <w:szCs w:val="24"/>
        </w:rPr>
        <w:t>allocate</w:t>
      </w:r>
      <w:r w:rsidRPr="00944112">
        <w:rPr>
          <w:rFonts w:ascii="GHEA Grapalat" w:hAnsi="GHEA Grapalat"/>
          <w:bCs/>
          <w:sz w:val="24"/>
          <w:szCs w:val="24"/>
          <w:lang w:val="hy-AM"/>
        </w:rPr>
        <w:t>d in the third month of each quarter, T</w:t>
      </w:r>
      <w:r>
        <w:rPr>
          <w:rFonts w:ascii="GHEA Grapalat" w:hAnsi="GHEA Grapalat"/>
          <w:bCs/>
          <w:sz w:val="24"/>
          <w:szCs w:val="24"/>
        </w:rPr>
        <w:t>-</w:t>
      </w:r>
      <w:r w:rsidRPr="00944112">
        <w:rPr>
          <w:rFonts w:ascii="GHEA Grapalat" w:hAnsi="GHEA Grapalat"/>
          <w:bCs/>
          <w:sz w:val="24"/>
          <w:szCs w:val="24"/>
          <w:lang w:val="hy-AM"/>
        </w:rPr>
        <w:t>Notes with a maturity of 5 years in the second month of each quarter, T</w:t>
      </w:r>
      <w:r>
        <w:rPr>
          <w:rFonts w:ascii="GHEA Grapalat" w:hAnsi="GHEA Grapalat"/>
          <w:bCs/>
          <w:sz w:val="24"/>
          <w:szCs w:val="24"/>
        </w:rPr>
        <w:t>-B</w:t>
      </w:r>
      <w:r w:rsidRPr="00944112">
        <w:rPr>
          <w:rFonts w:ascii="GHEA Grapalat" w:hAnsi="GHEA Grapalat"/>
          <w:bCs/>
          <w:sz w:val="24"/>
          <w:szCs w:val="24"/>
          <w:lang w:val="hy-AM"/>
        </w:rPr>
        <w:t>onds with a maturity of 10 years in January and July, and T</w:t>
      </w:r>
      <w:r>
        <w:rPr>
          <w:rFonts w:ascii="GHEA Grapalat" w:hAnsi="GHEA Grapalat"/>
          <w:bCs/>
          <w:sz w:val="24"/>
          <w:szCs w:val="24"/>
        </w:rPr>
        <w:t>-B</w:t>
      </w:r>
      <w:r w:rsidRPr="00944112">
        <w:rPr>
          <w:rFonts w:ascii="GHEA Grapalat" w:hAnsi="GHEA Grapalat"/>
          <w:bCs/>
          <w:sz w:val="24"/>
          <w:szCs w:val="24"/>
          <w:lang w:val="hy-AM"/>
        </w:rPr>
        <w:t>onds with a maturity of 30 years in April and October.</w:t>
      </w:r>
    </w:p>
    <w:p w:rsidR="003F3207" w:rsidRPr="003F3207" w:rsidRDefault="003F3207" w:rsidP="003F3207">
      <w:pPr>
        <w:spacing w:before="120" w:after="120" w:line="360" w:lineRule="auto"/>
        <w:ind w:firstLine="562"/>
        <w:jc w:val="both"/>
        <w:rPr>
          <w:rFonts w:ascii="GHEA Grapalat" w:eastAsia="Times New Roman" w:hAnsi="GHEA Grapalat" w:cs="Times New Roman"/>
          <w:sz w:val="24"/>
          <w:szCs w:val="24"/>
          <w:lang w:val="hy-AM"/>
        </w:rPr>
      </w:pPr>
      <w:r w:rsidRPr="003F3207">
        <w:rPr>
          <w:rFonts w:ascii="GHEA Grapalat" w:eastAsia="Times New Roman" w:hAnsi="GHEA Grapalat" w:cs="Times New Roman"/>
          <w:sz w:val="24"/>
          <w:szCs w:val="24"/>
          <w:lang w:val="hy-AM"/>
        </w:rPr>
        <w:t xml:space="preserve">The information about the indicative volumes of the auctions will be published quarterly, 10 days before each quarter. </w:t>
      </w:r>
    </w:p>
    <w:p w:rsidR="003F3207" w:rsidRPr="003F3207" w:rsidRDefault="003F3207" w:rsidP="003F3207">
      <w:pPr>
        <w:spacing w:before="120" w:after="120" w:line="360" w:lineRule="auto"/>
        <w:ind w:firstLine="562"/>
        <w:jc w:val="both"/>
        <w:rPr>
          <w:rFonts w:ascii="GHEA Grapalat" w:eastAsia="Times New Roman" w:hAnsi="GHEA Grapalat" w:cs="Times New Roman"/>
          <w:sz w:val="24"/>
          <w:szCs w:val="24"/>
          <w:lang w:val="hy-AM"/>
        </w:rPr>
      </w:pPr>
      <w:r w:rsidRPr="003F3207">
        <w:rPr>
          <w:rFonts w:ascii="GHEA Grapalat" w:eastAsia="Times New Roman" w:hAnsi="GHEA Grapalat" w:cs="Times New Roman"/>
          <w:sz w:val="24"/>
          <w:szCs w:val="24"/>
          <w:lang w:val="hy-AM"/>
        </w:rPr>
        <w:t>The information about the volume (range) and tenor of bonds subject to allocation will be published within the last ten days of previous month before the auction date, after the discussion with Primary Dealers.</w:t>
      </w:r>
    </w:p>
    <w:p w:rsidR="003F3207" w:rsidRPr="003F3207" w:rsidRDefault="003F3207" w:rsidP="003F3207">
      <w:pPr>
        <w:spacing w:before="120" w:after="120" w:line="360" w:lineRule="auto"/>
        <w:ind w:firstLine="562"/>
        <w:jc w:val="both"/>
        <w:rPr>
          <w:rFonts w:ascii="GHEA Grapalat" w:eastAsia="Times New Roman" w:hAnsi="GHEA Grapalat" w:cs="Times New Roman"/>
          <w:sz w:val="24"/>
          <w:szCs w:val="24"/>
          <w:lang w:val="hy-AM"/>
        </w:rPr>
      </w:pPr>
      <w:r w:rsidRPr="003F3207">
        <w:rPr>
          <w:rFonts w:ascii="GHEA Grapalat" w:eastAsia="Times New Roman" w:hAnsi="GHEA Grapalat" w:cs="Times New Roman"/>
          <w:sz w:val="24"/>
          <w:szCs w:val="24"/>
          <w:lang w:val="hy-AM"/>
        </w:rPr>
        <w:t>Additional T-Bills issuances may be implemented, moreover, issuances with maturity period of up to 3 weeks can be done for cash flow management purposes, whereas issuances with maturity period of 3-12 months can be done in frames of coordination of the fiscal and monetary policies.</w:t>
      </w:r>
    </w:p>
    <w:p w:rsidR="003F3207" w:rsidRPr="003F3207" w:rsidRDefault="003F3207" w:rsidP="003F3207">
      <w:pPr>
        <w:spacing w:before="120" w:after="120" w:line="360" w:lineRule="auto"/>
        <w:ind w:firstLine="562"/>
        <w:jc w:val="both"/>
        <w:rPr>
          <w:rFonts w:ascii="GHEA Grapalat" w:eastAsia="Times New Roman" w:hAnsi="GHEA Grapalat" w:cs="Times New Roman"/>
          <w:sz w:val="24"/>
          <w:szCs w:val="24"/>
        </w:rPr>
      </w:pPr>
      <w:r w:rsidRPr="003F3207">
        <w:rPr>
          <w:rFonts w:ascii="GHEA Grapalat" w:eastAsia="Times New Roman" w:hAnsi="GHEA Grapalat" w:cs="Times New Roman"/>
          <w:sz w:val="24"/>
          <w:szCs w:val="24"/>
          <w:lang w:val="hy-AM"/>
        </w:rPr>
        <w:t xml:space="preserve">April 29 and October 29 are </w:t>
      </w:r>
      <w:r w:rsidRPr="003F3207">
        <w:rPr>
          <w:rFonts w:ascii="GHEA Grapalat" w:eastAsia="Times New Roman" w:hAnsi="GHEA Grapalat" w:cs="Times New Roman"/>
          <w:sz w:val="24"/>
          <w:szCs w:val="24"/>
        </w:rPr>
        <w:t xml:space="preserve">considered </w:t>
      </w:r>
      <w:r w:rsidRPr="003F3207">
        <w:rPr>
          <w:rFonts w:ascii="GHEA Grapalat" w:eastAsia="Times New Roman" w:hAnsi="GHEA Grapalat" w:cs="Times New Roman"/>
          <w:sz w:val="24"/>
          <w:szCs w:val="24"/>
          <w:lang w:val="hy-AM"/>
        </w:rPr>
        <w:t xml:space="preserve">reserve auction dates </w:t>
      </w:r>
      <w:r w:rsidRPr="003F3207">
        <w:rPr>
          <w:rFonts w:ascii="GHEA Grapalat" w:eastAsia="Times New Roman" w:hAnsi="GHEA Grapalat" w:cs="Times New Roman"/>
          <w:sz w:val="24"/>
          <w:szCs w:val="24"/>
        </w:rPr>
        <w:t xml:space="preserve">and </w:t>
      </w:r>
      <w:r w:rsidRPr="003F3207">
        <w:rPr>
          <w:rFonts w:ascii="GHEA Grapalat" w:eastAsia="Times New Roman" w:hAnsi="GHEA Grapalat" w:cs="Times New Roman"/>
          <w:sz w:val="24"/>
          <w:szCs w:val="24"/>
          <w:lang w:val="hy-AM"/>
        </w:rPr>
        <w:t>interest payments and redemption of coupon bonds are consolidated on these dates.</w:t>
      </w:r>
      <w:r w:rsidRPr="003F3207">
        <w:rPr>
          <w:rFonts w:ascii="GHEA Grapalat" w:eastAsia="Times New Roman" w:hAnsi="GHEA Grapalat" w:cs="Times New Roman"/>
          <w:sz w:val="24"/>
          <w:szCs w:val="24"/>
        </w:rPr>
        <w:t xml:space="preserve"> </w:t>
      </w:r>
    </w:p>
    <w:p w:rsidR="003F3207" w:rsidRPr="003F3207" w:rsidRDefault="003F3207" w:rsidP="003F3207">
      <w:pPr>
        <w:spacing w:before="120" w:after="120" w:line="360" w:lineRule="auto"/>
        <w:ind w:firstLine="562"/>
        <w:jc w:val="both"/>
        <w:rPr>
          <w:rFonts w:ascii="GHEA Grapalat" w:eastAsia="Times New Roman" w:hAnsi="GHEA Grapalat" w:cs="Times New Roman"/>
          <w:sz w:val="24"/>
          <w:szCs w:val="24"/>
          <w:lang w:val="hy-AM"/>
        </w:rPr>
      </w:pPr>
      <w:r w:rsidRPr="003F3207">
        <w:rPr>
          <w:rFonts w:ascii="GHEA Grapalat" w:eastAsia="Times New Roman" w:hAnsi="GHEA Grapalat" w:cs="Times New Roman"/>
          <w:sz w:val="24"/>
          <w:szCs w:val="24"/>
          <w:lang w:val="hy-AM"/>
        </w:rPr>
        <w:t>In exceptional cases, the Ministry of Finance may cancel or announce additional auction dates due to borrowing needs and market trends.</w:t>
      </w:r>
    </w:p>
    <w:p w:rsidR="003F3207" w:rsidRPr="003F3207" w:rsidRDefault="003F3207" w:rsidP="003F3207">
      <w:pPr>
        <w:spacing w:before="120" w:after="120" w:line="360" w:lineRule="auto"/>
        <w:ind w:firstLine="562"/>
        <w:jc w:val="both"/>
        <w:rPr>
          <w:rFonts w:ascii="GHEA Grapalat" w:eastAsia="Times New Roman" w:hAnsi="GHEA Grapalat" w:cs="Times New Roman"/>
          <w:sz w:val="24"/>
          <w:szCs w:val="24"/>
        </w:rPr>
      </w:pPr>
      <w:r w:rsidRPr="003F3207">
        <w:rPr>
          <w:rFonts w:ascii="GHEA Grapalat" w:eastAsia="Times New Roman" w:hAnsi="GHEA Grapalat" w:cs="Times New Roman"/>
          <w:sz w:val="24"/>
          <w:szCs w:val="24"/>
        </w:rPr>
        <w:t xml:space="preserve">During </w:t>
      </w:r>
      <w:proofErr w:type="gramStart"/>
      <w:r w:rsidRPr="003F3207">
        <w:rPr>
          <w:rFonts w:ascii="GHEA Grapalat" w:eastAsia="Times New Roman" w:hAnsi="GHEA Grapalat" w:cs="Times New Roman"/>
          <w:sz w:val="24"/>
          <w:szCs w:val="24"/>
        </w:rPr>
        <w:t>202</w:t>
      </w:r>
      <w:r w:rsidR="00D344E3">
        <w:rPr>
          <w:rFonts w:ascii="GHEA Grapalat" w:eastAsia="Times New Roman" w:hAnsi="GHEA Grapalat" w:cs="Times New Roman"/>
          <w:sz w:val="24"/>
          <w:szCs w:val="24"/>
        </w:rPr>
        <w:t>5</w:t>
      </w:r>
      <w:proofErr w:type="gramEnd"/>
      <w:r w:rsidRPr="003F3207">
        <w:rPr>
          <w:rFonts w:ascii="GHEA Grapalat" w:eastAsia="Times New Roman" w:hAnsi="GHEA Grapalat" w:cs="Times New Roman"/>
          <w:sz w:val="24"/>
          <w:szCs w:val="24"/>
        </w:rPr>
        <w:t xml:space="preserve"> the switch auctions will be implemented for the purposes of consolidation and refinancing risk management of outstanding Treasury Bonds.  Pilot issuance of inflation-linked bonds </w:t>
      </w:r>
      <w:proofErr w:type="gramStart"/>
      <w:r w:rsidRPr="003F3207">
        <w:rPr>
          <w:rFonts w:ascii="GHEA Grapalat" w:eastAsia="Times New Roman" w:hAnsi="GHEA Grapalat" w:cs="Times New Roman"/>
          <w:sz w:val="24"/>
          <w:szCs w:val="24"/>
        </w:rPr>
        <w:t>is planned</w:t>
      </w:r>
      <w:proofErr w:type="gramEnd"/>
      <w:r w:rsidRPr="003F3207">
        <w:rPr>
          <w:rFonts w:ascii="GHEA Grapalat" w:eastAsia="Times New Roman" w:hAnsi="GHEA Grapalat" w:cs="Times New Roman"/>
          <w:sz w:val="24"/>
          <w:szCs w:val="24"/>
        </w:rPr>
        <w:t xml:space="preserve"> for the expansion of domestic debt instruments structure.</w:t>
      </w:r>
    </w:p>
    <w:p w:rsidR="003F3207" w:rsidRPr="003F3207" w:rsidRDefault="003F3207" w:rsidP="003F3207">
      <w:pPr>
        <w:spacing w:before="120" w:after="120" w:line="360" w:lineRule="auto"/>
        <w:ind w:firstLine="562"/>
        <w:jc w:val="both"/>
        <w:rPr>
          <w:rFonts w:ascii="GHEA Grapalat" w:eastAsia="Times New Roman" w:hAnsi="GHEA Grapalat" w:cs="Times New Roman"/>
          <w:sz w:val="24"/>
          <w:szCs w:val="24"/>
        </w:rPr>
      </w:pPr>
      <w:r w:rsidRPr="003F3207">
        <w:rPr>
          <w:rFonts w:ascii="GHEA Grapalat" w:eastAsia="Times New Roman" w:hAnsi="GHEA Grapalat" w:cs="Times New Roman"/>
          <w:sz w:val="24"/>
          <w:szCs w:val="24"/>
          <w:lang w:val="hy-AM"/>
        </w:rPr>
        <w:t>As needed, Treasury bonds buybacks will be implemented during 202</w:t>
      </w:r>
      <w:r w:rsidR="005370DB">
        <w:rPr>
          <w:rFonts w:ascii="GHEA Grapalat" w:eastAsia="Times New Roman" w:hAnsi="GHEA Grapalat" w:cs="Times New Roman"/>
          <w:sz w:val="24"/>
          <w:szCs w:val="24"/>
        </w:rPr>
        <w:t>5</w:t>
      </w:r>
      <w:r w:rsidRPr="003F3207">
        <w:rPr>
          <w:rFonts w:ascii="GHEA Grapalat" w:eastAsia="Times New Roman" w:hAnsi="GHEA Grapalat" w:cs="Times New Roman"/>
          <w:sz w:val="24"/>
          <w:szCs w:val="24"/>
          <w:lang w:val="hy-AM"/>
        </w:rPr>
        <w:t>. In 202</w:t>
      </w:r>
      <w:r w:rsidRPr="003F3207">
        <w:rPr>
          <w:rFonts w:ascii="GHEA Grapalat" w:eastAsia="Times New Roman" w:hAnsi="GHEA Grapalat" w:cs="Times New Roman"/>
          <w:sz w:val="24"/>
          <w:szCs w:val="24"/>
        </w:rPr>
        <w:t>4</w:t>
      </w:r>
      <w:r w:rsidRPr="003F3207">
        <w:rPr>
          <w:rFonts w:ascii="GHEA Grapalat" w:eastAsia="Times New Roman" w:hAnsi="GHEA Grapalat" w:cs="Times New Roman"/>
          <w:sz w:val="24"/>
          <w:szCs w:val="24"/>
          <w:lang w:val="hy-AM"/>
        </w:rPr>
        <w:t>, the 70-80% of the buybacks is planned for smoothening the redemption profile, and 20-30% - for enhancing the liquidity.  As a rule, treasury bonds buybacks will be carried out on mid-term and long-term treasury bonds auction dates. During the placement period of each issue, the Ministry of Finance does not implement buyback of those bonds (on-the-run).</w:t>
      </w:r>
    </w:p>
    <w:p w:rsidR="003F3207" w:rsidRPr="003F3207" w:rsidRDefault="003F3207" w:rsidP="003F3207">
      <w:pPr>
        <w:spacing w:before="120" w:after="120" w:line="360" w:lineRule="auto"/>
        <w:ind w:firstLine="630"/>
        <w:jc w:val="both"/>
        <w:rPr>
          <w:rFonts w:ascii="GHEA Grapalat" w:eastAsia="Times New Roman" w:hAnsi="GHEA Grapalat" w:cs="Times New Roman"/>
          <w:sz w:val="24"/>
          <w:szCs w:val="24"/>
          <w:lang w:val="hy-AM"/>
        </w:rPr>
      </w:pPr>
      <w:r w:rsidRPr="003F3207">
        <w:rPr>
          <w:rFonts w:ascii="GHEA Grapalat" w:eastAsia="Times New Roman" w:hAnsi="GHEA Grapalat" w:cs="Times New Roman"/>
          <w:sz w:val="24"/>
          <w:szCs w:val="24"/>
          <w:lang w:val="hy-AM"/>
        </w:rPr>
        <w:t>The list of benchmark bonds is published quarterly, 10 days before each quarter on the official website of the Ministry of Finance (</w:t>
      </w:r>
      <w:hyperlink r:id="rId5" w:history="1">
        <w:r w:rsidRPr="003F3207">
          <w:rPr>
            <w:rFonts w:ascii="GHEA Grapalat" w:eastAsia="Times New Roman" w:hAnsi="GHEA Grapalat" w:cs="Times New Roman"/>
            <w:lang w:val="hy-AM"/>
          </w:rPr>
          <w:t>www.minfin.am</w:t>
        </w:r>
      </w:hyperlink>
      <w:r w:rsidRPr="003F3207">
        <w:rPr>
          <w:rFonts w:ascii="GHEA Grapalat" w:eastAsia="Times New Roman" w:hAnsi="GHEA Grapalat" w:cs="Times New Roman"/>
          <w:sz w:val="24"/>
          <w:szCs w:val="24"/>
          <w:lang w:val="hy-AM"/>
        </w:rPr>
        <w:t>).</w:t>
      </w:r>
    </w:p>
    <w:p w:rsidR="00BF13C3" w:rsidRPr="003F3207" w:rsidRDefault="003F3207" w:rsidP="00235762">
      <w:pPr>
        <w:spacing w:before="120" w:after="120" w:line="360" w:lineRule="auto"/>
        <w:ind w:firstLine="562"/>
        <w:jc w:val="both"/>
        <w:rPr>
          <w:rFonts w:ascii="GHEA Grapalat" w:hAnsi="GHEA Grapalat"/>
          <w:sz w:val="24"/>
          <w:szCs w:val="24"/>
          <w:lang w:val="hy-AM"/>
        </w:rPr>
      </w:pPr>
      <w:r w:rsidRPr="003F3207">
        <w:rPr>
          <w:rFonts w:ascii="GHEA Grapalat" w:eastAsia="Times New Roman" w:hAnsi="GHEA Grapalat" w:cs="Times New Roman"/>
          <w:sz w:val="24"/>
          <w:szCs w:val="24"/>
          <w:lang w:val="hy-AM"/>
        </w:rPr>
        <w:t xml:space="preserve">A meeting with Primary Dealers will be arranged on the penultimate Thursday of each month. A meeting with other institutional participants of Government bonds market will be arranged </w:t>
      </w:r>
      <w:r w:rsidRPr="003F3207">
        <w:rPr>
          <w:rFonts w:ascii="GHEA Grapalat" w:eastAsia="Times New Roman" w:hAnsi="GHEA Grapalat" w:cs="Times New Roman"/>
          <w:sz w:val="24"/>
          <w:szCs w:val="24"/>
        </w:rPr>
        <w:t>on second</w:t>
      </w:r>
      <w:r w:rsidRPr="003F3207">
        <w:rPr>
          <w:rFonts w:ascii="GHEA Grapalat" w:eastAsia="Times New Roman" w:hAnsi="GHEA Grapalat" w:cs="Times New Roman"/>
          <w:sz w:val="24"/>
          <w:szCs w:val="24"/>
          <w:lang w:val="hy-AM"/>
        </w:rPr>
        <w:t xml:space="preserve"> Thursday of </w:t>
      </w:r>
      <w:r w:rsidRPr="003F3207">
        <w:rPr>
          <w:rFonts w:ascii="GHEA Grapalat" w:eastAsia="Times New Roman" w:hAnsi="GHEA Grapalat" w:cs="Times New Roman"/>
          <w:sz w:val="24"/>
          <w:szCs w:val="24"/>
        </w:rPr>
        <w:t xml:space="preserve">third month of </w:t>
      </w:r>
      <w:r w:rsidRPr="003F3207">
        <w:rPr>
          <w:rFonts w:ascii="GHEA Grapalat" w:eastAsia="Times New Roman" w:hAnsi="GHEA Grapalat" w:cs="Times New Roman"/>
          <w:sz w:val="24"/>
          <w:szCs w:val="24"/>
          <w:lang w:val="hy-AM"/>
        </w:rPr>
        <w:t xml:space="preserve">each quarter. </w:t>
      </w:r>
    </w:p>
    <w:sectPr w:rsidR="00BF13C3" w:rsidRPr="003F3207" w:rsidSect="00CD45FB">
      <w:pgSz w:w="12240" w:h="15840"/>
      <w:pgMar w:top="810" w:right="619" w:bottom="28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70"/>
    <w:rsid w:val="00045BE6"/>
    <w:rsid w:val="00120727"/>
    <w:rsid w:val="00235762"/>
    <w:rsid w:val="002B00B7"/>
    <w:rsid w:val="002F74E1"/>
    <w:rsid w:val="003F3207"/>
    <w:rsid w:val="00494770"/>
    <w:rsid w:val="005370DB"/>
    <w:rsid w:val="00580ED7"/>
    <w:rsid w:val="005B2A2B"/>
    <w:rsid w:val="005E3FDC"/>
    <w:rsid w:val="007574E4"/>
    <w:rsid w:val="00944112"/>
    <w:rsid w:val="0096394C"/>
    <w:rsid w:val="00B2365A"/>
    <w:rsid w:val="00BF13C3"/>
    <w:rsid w:val="00C0493B"/>
    <w:rsid w:val="00CD45FB"/>
    <w:rsid w:val="00D344E3"/>
    <w:rsid w:val="00DC3695"/>
    <w:rsid w:val="00DD419D"/>
    <w:rsid w:val="00FB5160"/>
    <w:rsid w:val="00FF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F9FCA-3A9A-4338-81D5-E135A3FA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3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3C3"/>
    <w:pPr>
      <w:ind w:left="720"/>
      <w:contextualSpacing/>
    </w:pPr>
  </w:style>
  <w:style w:type="character" w:styleId="Hyperlink">
    <w:name w:val="Hyperlink"/>
    <w:basedOn w:val="DefaultParagraphFont"/>
    <w:uiPriority w:val="99"/>
    <w:unhideWhenUsed/>
    <w:rsid w:val="00BF13C3"/>
    <w:rPr>
      <w:color w:val="0000FF"/>
      <w:u w:val="single"/>
    </w:rPr>
  </w:style>
  <w:style w:type="paragraph" w:styleId="BodyText2">
    <w:name w:val="Body Text 2"/>
    <w:aliases w:val="1Text"/>
    <w:basedOn w:val="Normal"/>
    <w:link w:val="BodyText2Char"/>
    <w:autoRedefine/>
    <w:qFormat/>
    <w:rsid w:val="00B2365A"/>
    <w:pPr>
      <w:spacing w:after="0" w:line="360" w:lineRule="auto"/>
      <w:contextualSpacing/>
      <w:jc w:val="both"/>
    </w:pPr>
    <w:rPr>
      <w:rFonts w:ascii="GHEA Grapalat" w:eastAsia="Calibri" w:hAnsi="GHEA Grapalat" w:cs="Times New Roman"/>
      <w:sz w:val="24"/>
      <w:szCs w:val="24"/>
      <w:lang w:val="af-ZA"/>
      <w14:textOutline w14:w="9525" w14:cap="rnd" w14:cmpd="sng" w14:algn="ctr">
        <w14:noFill/>
        <w14:prstDash w14:val="solid"/>
        <w14:bevel/>
      </w14:textOutline>
    </w:rPr>
  </w:style>
  <w:style w:type="character" w:customStyle="1" w:styleId="BodyText2Char">
    <w:name w:val="Body Text 2 Char"/>
    <w:aliases w:val="1Text Char"/>
    <w:basedOn w:val="DefaultParagraphFont"/>
    <w:link w:val="BodyText2"/>
    <w:rsid w:val="00B2365A"/>
    <w:rPr>
      <w:rFonts w:ascii="GHEA Grapalat" w:eastAsia="Calibri" w:hAnsi="GHEA Grapalat" w:cs="Times New Roman"/>
      <w:sz w:val="24"/>
      <w:szCs w:val="24"/>
      <w:lang w:val="af-ZA"/>
      <w14:textOutline w14:w="9525" w14:cap="rnd" w14:cmpd="sng" w14:algn="ctr">
        <w14:noFill/>
        <w14:prstDash w14:val="solid"/>
        <w14:bevel/>
      </w14:textOutline>
    </w:rPr>
  </w:style>
  <w:style w:type="paragraph" w:styleId="BalloonText">
    <w:name w:val="Balloon Text"/>
    <w:basedOn w:val="Normal"/>
    <w:link w:val="BalloonTextChar"/>
    <w:uiPriority w:val="99"/>
    <w:semiHidden/>
    <w:unhideWhenUsed/>
    <w:rsid w:val="00537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4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fin.a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Khachatryan</dc:creator>
  <cp:keywords>https://mul2-minfin.gov.am/tasks/937389/oneclick?token=cdef3be118bfbdec7c25d1c1da4e99a9</cp:keywords>
  <dc:description/>
  <cp:lastModifiedBy>Kristine Khachatryan</cp:lastModifiedBy>
  <cp:revision>20</cp:revision>
  <cp:lastPrinted>2025-01-10T07:13:00Z</cp:lastPrinted>
  <dcterms:created xsi:type="dcterms:W3CDTF">2022-12-01T11:58:00Z</dcterms:created>
  <dcterms:modified xsi:type="dcterms:W3CDTF">2025-01-13T06:05:00Z</dcterms:modified>
</cp:coreProperties>
</file>